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AGREEMENT TO SELL</w:t>
      </w:r>
    </w:p>
    <w:p>
      <w:pPr>
        <w:spacing w:after="120"/>
        <w:jc w:val="both"/>
      </w:pPr>
      <w:r>
        <w:rPr>
          <w:rFonts w:ascii="Times New Roman" w:hAnsi="Times New Roman" w:cs="Times New Roman"/>
          <w:b w:val="0"/>
          <w:i w:val="0"/>
        </w:rPr>
        <w:t>This Agreement to Sell is made at Jaipur on 14 October 2026 BETWEEN Ashok Kumar Jain, S/o Late Shri Prem Chand Jain, residing at H-18, Malviya Nagar, Jaipur, Rajasthan 302017 (the "Seller") AND Deepak Agarwal, S/o Shri Om Prakash Agarwal, residing at 45, Vaishali Nagar, Jaipur, Rajasthan 302021 (the "Buyer").</w:t>
      </w:r>
    </w:p>
    <w:p>
      <w:pPr>
        <w:spacing w:after="120"/>
        <w:jc w:val="both"/>
      </w:pPr>
      <w:r>
        <w:rPr>
          <w:rFonts w:ascii="Times New Roman" w:hAnsi="Times New Roman" w:cs="Times New Roman"/>
          <w:b w:val="0"/>
          <w:i w:val="0"/>
        </w:rPr>
        <w:t>WHEREAS the Seller is the absolute owner of Residential plot No. 112, admeasuring 200 square yards, in Shanti Vihar Scheme, Jagatpura, Jaipur, bounded on the North by Plot 111, South by Plot 113, East by 30 feet road, West by Plot 127 (the "Property") by virtue of registered sale deed dated 5 August 2009, and has agreed to sell it to the Buyer, who has agreed to buy it, on the following terms:</w:t>
      </w:r>
    </w:p>
    <w:p>
      <w:pPr>
        <w:spacing w:after="120"/>
        <w:ind w:left="510" w:hanging="340"/>
        <w:jc w:val="both"/>
      </w:pPr>
      <w:r>
        <w:rPr>
          <w:rFonts w:ascii="Times New Roman" w:hAnsi="Times New Roman" w:cs="Times New Roman"/>
          <w:b w:val="0"/>
          <w:i w:val="0"/>
        </w:rPr>
        <w:t>1.  Price: The total sale price is Rs. 60,00,000 (Rupees sixty lakh only).</w:t>
      </w:r>
    </w:p>
    <w:p>
      <w:pPr>
        <w:spacing w:after="120"/>
        <w:ind w:left="510" w:hanging="340"/>
        <w:jc w:val="both"/>
      </w:pPr>
      <w:r>
        <w:rPr>
          <w:rFonts w:ascii="Times New Roman" w:hAnsi="Times New Roman" w:cs="Times New Roman"/>
          <w:b w:val="0"/>
          <w:i w:val="0"/>
        </w:rPr>
        <w:t>2.  Advance: The Buyer has paid Rs. 6,00,000 (Rupees six lakh only) by RTGS dated 14 October 2026 as earnest money, the receipt of which the Seller acknowledges.</w:t>
      </w:r>
    </w:p>
    <w:p>
      <w:pPr>
        <w:spacing w:after="120"/>
        <w:ind w:left="510" w:hanging="340"/>
        <w:jc w:val="both"/>
      </w:pPr>
      <w:r>
        <w:rPr>
          <w:rFonts w:ascii="Times New Roman" w:hAnsi="Times New Roman" w:cs="Times New Roman"/>
          <w:b w:val="0"/>
          <w:i w:val="0"/>
        </w:rPr>
        <w:t>3.  Balance: The Buyer shall pay the balance by banking channels on or before 15 January 2027, at the time of execution and registration of the sale deed.</w:t>
      </w:r>
    </w:p>
    <w:p>
      <w:pPr>
        <w:spacing w:after="120"/>
        <w:ind w:left="510" w:hanging="340"/>
        <w:jc w:val="both"/>
      </w:pPr>
      <w:r>
        <w:rPr>
          <w:rFonts w:ascii="Times New Roman" w:hAnsi="Times New Roman" w:cs="Times New Roman"/>
          <w:b w:val="0"/>
          <w:i w:val="0"/>
        </w:rPr>
        <w:t>4.  Title: The Seller declares that the Property is free from all encumbrances, charges, mortgages, disputes and attachments, and shall provide original title documents for verification.</w:t>
      </w:r>
    </w:p>
    <w:p>
      <w:pPr>
        <w:spacing w:after="120"/>
        <w:ind w:left="510" w:hanging="340"/>
        <w:jc w:val="both"/>
      </w:pPr>
      <w:r>
        <w:rPr>
          <w:rFonts w:ascii="Times New Roman" w:hAnsi="Times New Roman" w:cs="Times New Roman"/>
          <w:b w:val="0"/>
          <w:i w:val="0"/>
        </w:rPr>
        <w:t>5.  Sale deed: The Seller shall execute and present the sale deed for registration in favour of the Buyer or the Buyer's nominee on receipt of the balance. Stamp duty and registration charges on the sale deed shall be paid by the Buyer unless agreed otherwise.</w:t>
      </w:r>
    </w:p>
    <w:p>
      <w:pPr>
        <w:spacing w:after="120"/>
        <w:ind w:left="510" w:hanging="340"/>
        <w:jc w:val="both"/>
      </w:pPr>
      <w:r>
        <w:rPr>
          <w:rFonts w:ascii="Times New Roman" w:hAnsi="Times New Roman" w:cs="Times New Roman"/>
          <w:b w:val="0"/>
          <w:i w:val="0"/>
        </w:rPr>
        <w:t>6.  Dues: The Seller shall clear property tax, electricity, water and society dues up to the date of the sale deed.</w:t>
      </w:r>
    </w:p>
    <w:p>
      <w:pPr>
        <w:spacing w:after="120"/>
        <w:ind w:left="510" w:hanging="340"/>
        <w:jc w:val="both"/>
      </w:pPr>
      <w:r>
        <w:rPr>
          <w:rFonts w:ascii="Times New Roman" w:hAnsi="Times New Roman" w:cs="Times New Roman"/>
          <w:b w:val="0"/>
          <w:i w:val="0"/>
        </w:rPr>
        <w:t>7.  Default by Buyer: If the Buyer fails to pay the balance in time, the Seller may cancel this agreement after fifteen days' notice and may forfeit the amount stated in this clause as agreed: ______________.</w:t>
      </w:r>
    </w:p>
    <w:p>
      <w:pPr>
        <w:spacing w:after="120"/>
        <w:ind w:left="510" w:hanging="340"/>
        <w:jc w:val="both"/>
      </w:pPr>
      <w:r>
        <w:rPr>
          <w:rFonts w:ascii="Times New Roman" w:hAnsi="Times New Roman" w:cs="Times New Roman"/>
          <w:b w:val="0"/>
          <w:i w:val="0"/>
        </w:rPr>
        <w:t>8.  Default by Seller: If the Seller fails to execute the sale deed, the Buyer may seek specific performance of this agreement or refund of the advance with compensation as agreed: ______________.</w:t>
      </w:r>
    </w:p>
    <w:p>
      <w:pPr>
        <w:spacing w:after="120"/>
        <w:ind w:left="510" w:hanging="340"/>
        <w:jc w:val="both"/>
      </w:pPr>
      <w:r>
        <w:rPr>
          <w:rFonts w:ascii="Times New Roman" w:hAnsi="Times New Roman" w:cs="Times New Roman"/>
          <w:b w:val="0"/>
          <w:i w:val="0"/>
        </w:rPr>
        <w:t>9.  Possession: Vacant possession shall be handed over on registration of the sale deed.</w:t>
      </w:r>
    </w:p>
    <w:p>
      <w:pPr>
        <w:spacing w:after="80"/>
      </w:pPr>
      <w:r>
        <w:rPr>
          <w:rFonts w:ascii="Times New Roman" w:hAnsi="Times New Roman" w:cs="Times New Roman"/>
          <w:b/>
          <w:i w:val="0"/>
          <w:color w:val="6D1A1F"/>
        </w:rPr>
        <w:t>SCHEDULE OF THE PROPERTY</w:t>
      </w:r>
    </w:p>
    <w:p>
      <w:pPr>
        <w:spacing w:after="120"/>
        <w:jc w:val="both"/>
      </w:pPr>
      <w:r>
        <w:rPr>
          <w:rFonts w:ascii="Times New Roman" w:hAnsi="Times New Roman" w:cs="Times New Roman"/>
          <w:b w:val="0"/>
          <w:i w:val="0"/>
        </w:rPr>
        <w:t>Residential plot No. 112, admeasuring 200 square yards, in Shanti Vihar Scheme, Jagatpura, Jaipur, bounded on the North by Plot 111, South by Plot 113, East by 30 feet road, West by Plot 127</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Seller</w:t>
            </w:r>
          </w:p>
          <w:p>
            <w:r>
              <w:rPr>
                <w:b/>
              </w:rPr>
              <w:t>Ashok Kumar Jain, S/o Late Shri Prem Chand Jain</w:t>
            </w:r>
          </w:p>
        </w:tc>
        <w:tc>
          <w:tcPr>
            <w:tcW w:type="dxa" w:w="4649"/>
          </w:tcPr>
          <w:p>
            <w:r>
              <w:br/>
              <w:br/>
              <w:t>__________________________</w:t>
            </w:r>
          </w:p>
          <w:p>
            <w:r>
              <w:rPr>
                <w:sz w:val="18"/>
              </w:rPr>
              <w:t>Buyer</w:t>
            </w:r>
          </w:p>
          <w:p>
            <w:r>
              <w:rPr>
                <w:b/>
              </w:rPr>
              <w:t>Deepak Agarwal, S/o Shri Om Prakash Agarwal</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Under section 17(1A) of the Registration Act, 1908, an agreement to transfer immovable property for consideration must be registered if the buyer wants the protection of part performance under section 53A of the Transfer of Property Act. An agreement to sell does not transfer ownership; only a registered sale deed does.</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Notarised / attested on ______________ by ______________   Registration No. of notary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TO SELL</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